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File-note checklist</w:t>
      </w:r>
    </w:p>
    <w:p>
      <w:r>
        <w:rPr>
          <w:i/>
          <w:color w:val="67635C"/>
          <w:sz w:val="19"/>
        </w:rPr>
        <w:t>For each piece of personal advice to a retail client. s912G, inserted by ASIC Instrument 2024/508 until 1 October 2029, requires the licensee to ensure these records are kept for 7 years after the advice and are accessible throughout. Apart from Part 1 item 4, it does not apply where no Statement of Advice is required or a record of further advice is kept under s946B(3A) (s912G(7)).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6520"/>
      </w:tblGrid>
      <w:tr>
        <w:trPr>
          <w:trHeight w:val="425" w:hRule="atLeast"/>
        </w:trPr>
        <w:tc>
          <w:tcPr>
            <w:tcW w:type="dxa" w:w="2835"/>
          </w:tcPr>
          <w:p>
            <w:r>
              <w:rPr>
                <w:b/>
                <w:sz w:val="19"/>
              </w:rPr>
              <w:t>Client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835"/>
          </w:tcPr>
          <w:p>
            <w:r>
              <w:rPr>
                <w:b/>
                <w:sz w:val="19"/>
              </w:rPr>
              <w:t>Adviser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835"/>
          </w:tcPr>
          <w:p>
            <w:r>
              <w:rPr>
                <w:b/>
                <w:sz w:val="19"/>
              </w:rPr>
              <w:t>Subject matter of the advice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835"/>
          </w:tcPr>
          <w:p>
            <w:r>
              <w:rPr>
                <w:b/>
                <w:sz w:val="19"/>
              </w:rPr>
              <w:t>Date of advice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</w:r>
          </w:p>
        </w:tc>
      </w:tr>
    </w:tbl>
    <w:p>
      <w:pPr>
        <w:spacing w:after="0" w:line="120" w:lineRule="exact"/>
      </w:pPr>
    </w:p>
    <w:p>
      <w:pPr>
        <w:spacing w:before="280" w:after="80"/>
      </w:pPr>
      <w:r>
        <w:rPr>
          <w:b/>
          <w:color w:val="C84B15"/>
          <w:sz w:val="26"/>
        </w:rPr>
        <w:t>1. Records s912G requires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4535"/>
        <w:gridCol w:w="2438"/>
        <w:gridCol w:w="1701"/>
      </w:tblGrid>
      <w:tr>
        <w:trPr>
          <w:trHeight w:val="340" w:hRule="atLeast"/>
        </w:trPr>
        <w:tc>
          <w:tcPr>
            <w:tcW w:type="dxa" w:w="680"/>
            <w:shd w:val="clear" w:color="auto" w:fill="F4F1E8"/>
          </w:tcPr>
          <w:p>
            <w:r>
              <w:rPr>
                <w:b/>
                <w:sz w:val="19"/>
              </w:rPr>
              <w:t>Item</w:t>
            </w:r>
          </w:p>
        </w:tc>
        <w:tc>
          <w:tcPr>
            <w:tcW w:type="dxa" w:w="4535"/>
            <w:shd w:val="clear" w:color="auto" w:fill="F4F1E8"/>
          </w:tcPr>
          <w:p>
            <w:r>
              <w:rPr>
                <w:b/>
                <w:sz w:val="19"/>
              </w:rPr>
              <w:t>What to check</w:t>
            </w:r>
          </w:p>
        </w:tc>
        <w:tc>
          <w:tcPr>
            <w:tcW w:type="dxa" w:w="2438"/>
            <w:shd w:val="clear" w:color="auto" w:fill="F4F1E8"/>
          </w:tcPr>
          <w:p>
            <w:r>
              <w:rPr>
                <w:b/>
                <w:sz w:val="19"/>
              </w:rPr>
              <w:t>Where it is in the law</w:t>
            </w:r>
          </w:p>
        </w:tc>
        <w:tc>
          <w:tcPr>
            <w:tcW w:type="dxa" w:w="1701"/>
            <w:shd w:val="clear" w:color="auto" w:fill="F4F1E8"/>
          </w:tcPr>
          <w:p>
            <w:r>
              <w:rPr>
                <w:b/>
                <w:sz w:val="19"/>
              </w:rPr>
              <w:t>Done (initials, date)</w:t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Information relied on and action taken showing you acted in the client's best interests (met by item 2 if relying on the safe harbour).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s912G(2)(a)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If relying on the s961B(2) safe harbour: the information relied on and action taken for each step (Part 2).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s912G(2)(b)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The advice given, and why it is reasonable to conclude it is appropriate to the client.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s912G(2)(c); s961G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Any conflict you knew or ought to have known of: the information relied on and action taken to put the client first.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s912G(2)(d); s961J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</w:tbl>
    <w:p>
      <w:pPr>
        <w:spacing w:after="0" w:line="120" w:lineRule="exact"/>
      </w:pPr>
    </w:p>
    <w:p>
      <w:pPr>
        <w:spacing w:before="280" w:after="80"/>
      </w:pPr>
      <w:r>
        <w:rPr>
          <w:b/>
          <w:color w:val="C84B15"/>
          <w:sz w:val="26"/>
        </w:rPr>
        <w:t>2. Evidence for each best interests step (s961B(2))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4"/>
        <w:gridCol w:w="3855"/>
        <w:gridCol w:w="2835"/>
        <w:gridCol w:w="1701"/>
      </w:tblGrid>
      <w:tr>
        <w:trPr>
          <w:trHeight w:val="340" w:hRule="atLeast"/>
        </w:trPr>
        <w:tc>
          <w:tcPr>
            <w:tcW w:type="dxa" w:w="964"/>
            <w:shd w:val="clear" w:color="auto" w:fill="F4F1E8"/>
          </w:tcPr>
          <w:p>
            <w:r>
              <w:rPr>
                <w:b/>
                <w:sz w:val="19"/>
              </w:rPr>
              <w:t>Step</w:t>
            </w:r>
          </w:p>
        </w:tc>
        <w:tc>
          <w:tcPr>
            <w:tcW w:type="dxa" w:w="3855"/>
            <w:shd w:val="clear" w:color="auto" w:fill="F4F1E8"/>
          </w:tcPr>
          <w:p>
            <w:r>
              <w:rPr>
                <w:b/>
                <w:sz w:val="19"/>
              </w:rPr>
              <w:t>What the file shows</w:t>
            </w:r>
          </w:p>
        </w:tc>
        <w:tc>
          <w:tcPr>
            <w:tcW w:type="dxa" w:w="2835"/>
            <w:shd w:val="clear" w:color="auto" w:fill="F4F1E8"/>
          </w:tcPr>
          <w:p>
            <w:r>
              <w:rPr>
                <w:b/>
                <w:sz w:val="19"/>
              </w:rPr>
              <w:t>Where it is on file</w:t>
            </w:r>
          </w:p>
        </w:tc>
        <w:tc>
          <w:tcPr>
            <w:tcW w:type="dxa" w:w="1701"/>
            <w:shd w:val="clear" w:color="auto" w:fill="F4F1E8"/>
          </w:tcPr>
          <w:p>
            <w:r>
              <w:rPr>
                <w:b/>
                <w:sz w:val="19"/>
              </w:rPr>
              <w:t>Done (initials, date)</w:t>
            </w:r>
          </w:p>
        </w:tc>
      </w:tr>
      <w:tr>
        <w:trPr>
          <w:trHeight w:val="737" w:hRule="atLeast"/>
        </w:trPr>
        <w:tc>
          <w:tcPr>
            <w:tcW w:type="dxa" w:w="964"/>
          </w:tcPr>
          <w:p>
            <w:r>
              <w:rPr>
                <w:sz w:val="19"/>
              </w:rPr>
              <w:t>(a)</w:t>
            </w:r>
          </w:p>
        </w:tc>
        <w:tc>
          <w:tcPr>
            <w:tcW w:type="dxa" w:w="3855"/>
          </w:tcPr>
          <w:p>
            <w:r>
              <w:rPr>
                <w:sz w:val="19"/>
              </w:rPr>
              <w:t>The objectives, financial situation and needs the client disclosed through their instructions.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737" w:hRule="atLeast"/>
        </w:trPr>
        <w:tc>
          <w:tcPr>
            <w:tcW w:type="dxa" w:w="964"/>
          </w:tcPr>
          <w:p>
            <w:r>
              <w:rPr>
                <w:sz w:val="19"/>
              </w:rPr>
              <w:t>(b)</w:t>
            </w:r>
          </w:p>
        </w:tc>
        <w:tc>
          <w:tcPr>
            <w:tcW w:type="dxa" w:w="3855"/>
          </w:tcPr>
          <w:p>
            <w:r>
              <w:rPr>
                <w:sz w:val="19"/>
              </w:rPr>
              <w:t>The subject matter of the advice sought, and the client's relevant circumstances for it.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737" w:hRule="atLeast"/>
        </w:trPr>
        <w:tc>
          <w:tcPr>
            <w:tcW w:type="dxa" w:w="964"/>
          </w:tcPr>
          <w:p>
            <w:r>
              <w:rPr>
                <w:sz w:val="19"/>
              </w:rPr>
              <w:t>(c)</w:t>
            </w:r>
          </w:p>
        </w:tc>
        <w:tc>
          <w:tcPr>
            <w:tcW w:type="dxa" w:w="3855"/>
          </w:tcPr>
          <w:p>
            <w:r>
              <w:rPr>
                <w:sz w:val="19"/>
              </w:rPr>
              <w:t>Reasonable inquiries where information was reasonably apparently incomplete or inaccurate.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737" w:hRule="atLeast"/>
        </w:trPr>
        <w:tc>
          <w:tcPr>
            <w:tcW w:type="dxa" w:w="964"/>
          </w:tcPr>
          <w:p>
            <w:r>
              <w:rPr>
                <w:sz w:val="19"/>
              </w:rPr>
              <w:t>(d)</w:t>
            </w:r>
          </w:p>
        </w:tc>
        <w:tc>
          <w:tcPr>
            <w:tcW w:type="dxa" w:w="3855"/>
          </w:tcPr>
          <w:p>
            <w:r>
              <w:rPr>
                <w:sz w:val="19"/>
              </w:rPr>
              <w:t>Your assessment of your expertise, and a decline if you did not have it.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737" w:hRule="atLeast"/>
        </w:trPr>
        <w:tc>
          <w:tcPr>
            <w:tcW w:type="dxa" w:w="964"/>
          </w:tcPr>
          <w:p>
            <w:r>
              <w:rPr>
                <w:sz w:val="19"/>
              </w:rPr>
              <w:t>(e)</w:t>
            </w:r>
          </w:p>
        </w:tc>
        <w:tc>
          <w:tcPr>
            <w:tcW w:type="dxa" w:w="3855"/>
          </w:tcPr>
          <w:p>
            <w:r>
              <w:rPr>
                <w:sz w:val="19"/>
              </w:rPr>
              <w:t>Where a product recommendation was reasonable to consider: the investigation of products and your assessment of it.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737" w:hRule="atLeast"/>
        </w:trPr>
        <w:tc>
          <w:tcPr>
            <w:tcW w:type="dxa" w:w="964"/>
          </w:tcPr>
          <w:p>
            <w:r>
              <w:rPr>
                <w:sz w:val="19"/>
              </w:rPr>
              <w:t>(f)</w:t>
            </w:r>
          </w:p>
        </w:tc>
        <w:tc>
          <w:tcPr>
            <w:tcW w:type="dxa" w:w="3855"/>
          </w:tcPr>
          <w:p>
            <w:r>
              <w:rPr>
                <w:sz w:val="19"/>
              </w:rPr>
              <w:t>Judgements based on the client's relevant circumstances.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737" w:hRule="atLeast"/>
        </w:trPr>
        <w:tc>
          <w:tcPr>
            <w:tcW w:type="dxa" w:w="964"/>
          </w:tcPr>
          <w:p>
            <w:r>
              <w:rPr>
                <w:sz w:val="19"/>
              </w:rPr>
              <w:t>(g)</w:t>
            </w:r>
          </w:p>
        </w:tc>
        <w:tc>
          <w:tcPr>
            <w:tcW w:type="dxa" w:w="3855"/>
          </w:tcPr>
          <w:p>
            <w:r>
              <w:rPr>
                <w:sz w:val="19"/>
              </w:rPr>
              <w:t>Any other step reasonably in the client's best interests at the time.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</w:tbl>
    <w:p>
      <w:pPr>
        <w:spacing w:after="0" w:line="120" w:lineRule="exact"/>
      </w:pPr>
    </w:p>
    <w:p>
      <w:pPr>
        <w:spacing w:before="280" w:after="80"/>
      </w:pPr>
      <w:r>
        <w:rPr>
          <w:b/>
          <w:color w:val="C84B15"/>
          <w:sz w:val="26"/>
        </w:rPr>
        <w:t>3. Other documents and how long to keep them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4535"/>
        <w:gridCol w:w="2438"/>
        <w:gridCol w:w="1701"/>
      </w:tblGrid>
      <w:tr>
        <w:trPr>
          <w:trHeight w:val="340" w:hRule="atLeast"/>
        </w:trPr>
        <w:tc>
          <w:tcPr>
            <w:tcW w:type="dxa" w:w="680"/>
            <w:shd w:val="clear" w:color="auto" w:fill="F4F1E8"/>
          </w:tcPr>
          <w:p>
            <w:r>
              <w:rPr>
                <w:b/>
                <w:sz w:val="19"/>
              </w:rPr>
              <w:t>Item</w:t>
            </w:r>
          </w:p>
        </w:tc>
        <w:tc>
          <w:tcPr>
            <w:tcW w:type="dxa" w:w="4535"/>
            <w:shd w:val="clear" w:color="auto" w:fill="F4F1E8"/>
          </w:tcPr>
          <w:p>
            <w:r>
              <w:rPr>
                <w:b/>
                <w:sz w:val="19"/>
              </w:rPr>
              <w:t>What to check</w:t>
            </w:r>
          </w:p>
        </w:tc>
        <w:tc>
          <w:tcPr>
            <w:tcW w:type="dxa" w:w="2438"/>
            <w:shd w:val="clear" w:color="auto" w:fill="F4F1E8"/>
          </w:tcPr>
          <w:p>
            <w:r>
              <w:rPr>
                <w:b/>
                <w:sz w:val="19"/>
              </w:rPr>
              <w:t>Where it is in the law</w:t>
            </w:r>
          </w:p>
        </w:tc>
        <w:tc>
          <w:tcPr>
            <w:tcW w:type="dxa" w:w="1701"/>
            <w:shd w:val="clear" w:color="auto" w:fill="F4F1E8"/>
          </w:tcPr>
          <w:p>
            <w:r>
              <w:rPr>
                <w:b/>
                <w:sz w:val="19"/>
              </w:rPr>
              <w:t>Done (initials, date)</w:t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Statement of Advice, and any document or part of a document it mentions: 7 years after it is given.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reg 7.7.09C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Record of further advice: 7 years after the advice.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reg 7.7.09(3)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Ongoing fee arrangement records sufficient to show compliance.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s962X; reg 7.7A.11AA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Authorised representative: records handed to the licensee on request, or kept for 7 years.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s912G(4)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</w:tbl>
    <w:p>
      <w:pPr>
        <w:spacing w:after="0" w:line="120" w:lineRule="exact"/>
      </w:pP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7635C"/>
        <w:sz w:val="15"/>
      </w:rPr>
      <w:t>Template from BackPro AI (backpro.ai/resources/templates). Checked against the Corporations Act 2001 and Corporations Regulations 2001 on 7 October 2026. General information only, not legal advice. Your licensee's requirements come first.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1F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