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Product replacement checklist</w:t>
      </w:r>
    </w:p>
    <w:p>
      <w:r>
        <w:rPr>
          <w:i/>
          <w:color w:val="67635C"/>
          <w:sz w:val="19"/>
        </w:rPr>
        <w:t>For any advice that recommends the client dispose of, or reduce, all or part of a financial product and instead acquire, or increase, another (s947D(1)(a)), or move out of a MySuper product into another MySuper or choice product in the same fund (s947D(1)(b)). Check whether the regulations exclude the products concerned (s947D(4)). Plain-English paraphrases; the exact words are in s947D.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Adviser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Product being replaced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Recommended product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Date of advice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1. Switching disclosures in the Statement of Advice (s947D)</w:t>
      </w:r>
    </w:p>
    <w:p>
      <w:r>
        <w:rPr>
          <w:i/>
          <w:color w:val="67635C"/>
          <w:sz w:val="19"/>
        </w:rPr>
        <w:t>Items 1 to 3 to the extent the information is known to you or could reasonably be found out.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Charges the client will or may incur in disposing of, or reducing, the existing product.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s947D(2)(a)(i)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Charges the client will or may incur in acquiring, or increasing, the recommended product.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s947D(2)(a)(ii)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Pecuniary or other benefits the client will or may lose, temporarily or otherwise.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s947D(2)(a)(iii)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Other significant consequences you know, or ought reasonably to know, are likely.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s947D(2)(b)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Amounts in items 1 to 3 stated in dollars (unless the regulations and an ASIC determination allow otherwise).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s947D(2)(d); reg 7.7.10A(5)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you know there will or may be such charges, losses or consequences but cannot find out what they are, a statement saying so.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s947D(3)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520"/>
      </w:tblGrid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Charges on disposal ($)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Charges on acquisition ($)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Benefits the client may lose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835"/>
          </w:tcPr>
          <w:p>
            <w:r>
              <w:rPr>
                <w:b/>
                <w:sz w:val="19"/>
              </w:rPr>
              <w:t>Other significant consequences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2. If the switch is given in a Record of Advice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Further advice: the s947D information given at the time of the advice or as soon as practicable after.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s946B(3) as substituted by reg 7.7.10AE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Further advice: the record sets out the s947D information and statement, or brief particulars and an acknowledgement the statement was given.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7.7.09(1)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Small investment advice: the record sets out brief particulars of the s947D(2) information and the s947D(3) statement.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reg 7.7.08C(2)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p>
      <w:pPr>
        <w:spacing w:before="280" w:after="80"/>
      </w:pPr>
      <w:r>
        <w:rPr>
          <w:b/>
          <w:color w:val="C84B15"/>
          <w:sz w:val="26"/>
        </w:rPr>
        <w:t>3. The best interests steps behind the switch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2438"/>
        <w:gridCol w:w="1701"/>
      </w:tblGrid>
      <w:tr>
        <w:trPr>
          <w:trHeight w:val="340" w:hRule="atLeast"/>
        </w:trPr>
        <w:tc>
          <w:tcPr>
            <w:tcW w:type="dxa" w:w="680"/>
            <w:shd w:val="clear" w:color="auto" w:fill="F4F1E8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4535"/>
            <w:shd w:val="clear" w:color="auto" w:fill="F4F1E8"/>
          </w:tcPr>
          <w:p>
            <w:r>
              <w:rPr>
                <w:b/>
                <w:sz w:val="19"/>
              </w:rPr>
              <w:t>What to check</w:t>
            </w:r>
          </w:p>
        </w:tc>
        <w:tc>
          <w:tcPr>
            <w:tcW w:type="dxa" w:w="2438"/>
            <w:shd w:val="clear" w:color="auto" w:fill="F4F1E8"/>
          </w:tcPr>
          <w:p>
            <w:r>
              <w:rPr>
                <w:b/>
                <w:sz w:val="19"/>
              </w:rPr>
              <w:t>Where it is in the law</w:t>
            </w:r>
          </w:p>
        </w:tc>
        <w:tc>
          <w:tcPr>
            <w:tcW w:type="dxa" w:w="1701"/>
            <w:shd w:val="clear" w:color="auto" w:fill="F4F1E8"/>
          </w:tcPr>
          <w:p>
            <w:r>
              <w:rPr>
                <w:b/>
                <w:sz w:val="19"/>
              </w:rPr>
              <w:t>Done (initials, date)</w:t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 reasonable investigation into the products that might meet the client's relevant objectives and needs, and an assessment of what it found.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s961B(2)(e)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If the client asked you to consider a specific product, it was included in the investigation.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s961D(2)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All judgements based on the client's relevant circumstances.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s961B(2)(f)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It is reasonable to conclude the advice is appropriate to the client.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s961G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  <w:tr>
        <w:trPr>
          <w:trHeight w:val="624" w:hRule="atLeast"/>
        </w:trPr>
        <w:tc>
          <w:tcPr>
            <w:tcW w:type="dxa" w:w="680"/>
          </w:tcPr>
          <w:p>
            <w:r>
              <w:rPr>
                <w:sz w:val="19"/>
              </w:rPr>
              <w:t>14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Where there was a conflict, priority given to the client's interests.</w:t>
            </w:r>
          </w:p>
        </w:tc>
        <w:tc>
          <w:tcPr>
            <w:tcW w:type="dxa" w:w="2438"/>
          </w:tcPr>
          <w:p>
            <w:r>
              <w:rPr>
                <w:sz w:val="19"/>
              </w:rPr>
              <w:t>s961J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7635C"/>
        <w:sz w:val="15"/>
      </w:rPr>
      <w:t>Template from BackPro AI (backpro.ai/resources/templates). Checked against the Corporations Act 2001 and Corporations Regulations 2001 on 7 October 2026. General information only, not legal advice. Your licensee's requirements come first.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