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Record of Advice</w:t>
      </w:r>
    </w:p>
    <w:p>
      <w:r>
        <w:rPr>
          <w:i/>
          <w:color w:val="67635C"/>
          <w:sz w:val="19"/>
        </w:rPr>
        <w:t>How to use this template: a Record of Advice may be used instead of a Statement of Advice only in the three situations in Part 2. If none applies, the advice needs a Statement of Advice. Parts 3 to 5 are what the regulations require; Parts 1, 2 and 6 are good practice that shows the record was the right document. Delete this grey guidance before giving the record to the client.</w:t>
      </w:r>
    </w:p>
    <w:p>
      <w:pPr>
        <w:spacing w:before="280" w:after="80"/>
      </w:pPr>
      <w:r>
        <w:rPr>
          <w:b/>
          <w:color w:val="C84B15"/>
          <w:sz w:val="26"/>
        </w:rPr>
        <w:t>1. Client and adviser details</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Client name(s)</w:t>
            </w:r>
          </w:p>
        </w:tc>
        <w:tc>
          <w:tcPr>
            <w:tcW w:type="dxa" w:w="5953"/>
          </w:tcPr>
          <w:p>
            <w:r>
              <w:rPr>
                <w:sz w:val="19"/>
              </w:rPr>
            </w:r>
          </w:p>
        </w:tc>
      </w:tr>
      <w:tr>
        <w:trPr>
          <w:trHeight w:val="425" w:hRule="atLeast"/>
        </w:trPr>
        <w:tc>
          <w:tcPr>
            <w:tcW w:type="dxa" w:w="3402"/>
          </w:tcPr>
          <w:p>
            <w:r>
              <w:rPr>
                <w:b/>
                <w:sz w:val="19"/>
              </w:rPr>
              <w:t>Adviser</w:t>
            </w:r>
          </w:p>
        </w:tc>
        <w:tc>
          <w:tcPr>
            <w:tcW w:type="dxa" w:w="5953"/>
          </w:tcPr>
          <w:p>
            <w:r>
              <w:rPr>
                <w:sz w:val="19"/>
              </w:rPr>
            </w:r>
          </w:p>
        </w:tc>
      </w:tr>
      <w:tr>
        <w:trPr>
          <w:trHeight w:val="425" w:hRule="atLeast"/>
        </w:trPr>
        <w:tc>
          <w:tcPr>
            <w:tcW w:type="dxa" w:w="3402"/>
          </w:tcPr>
          <w:p>
            <w:r>
              <w:rPr>
                <w:b/>
                <w:sz w:val="19"/>
              </w:rPr>
              <w:t>Authorised representative number</w:t>
            </w:r>
          </w:p>
        </w:tc>
        <w:tc>
          <w:tcPr>
            <w:tcW w:type="dxa" w:w="5953"/>
          </w:tcPr>
          <w:p>
            <w:r>
              <w:rPr>
                <w:sz w:val="19"/>
              </w:rPr>
            </w:r>
          </w:p>
        </w:tc>
      </w:tr>
      <w:tr>
        <w:trPr>
          <w:trHeight w:val="425" w:hRule="atLeast"/>
        </w:trPr>
        <w:tc>
          <w:tcPr>
            <w:tcW w:type="dxa" w:w="3402"/>
          </w:tcPr>
          <w:p>
            <w:r>
              <w:rPr>
                <w:b/>
                <w:sz w:val="19"/>
              </w:rPr>
              <w:t>Licensee and AFSL number</w:t>
            </w:r>
          </w:p>
        </w:tc>
        <w:tc>
          <w:tcPr>
            <w:tcW w:type="dxa" w:w="5953"/>
          </w:tcPr>
          <w:p>
            <w:r>
              <w:rPr>
                <w:sz w:val="19"/>
              </w:rPr>
            </w:r>
          </w:p>
        </w:tc>
      </w:tr>
      <w:tr>
        <w:trPr>
          <w:trHeight w:val="425" w:hRule="atLeast"/>
        </w:trPr>
        <w:tc>
          <w:tcPr>
            <w:tcW w:type="dxa" w:w="3402"/>
          </w:tcPr>
          <w:p>
            <w:r>
              <w:rPr>
                <w:b/>
                <w:sz w:val="19"/>
              </w:rPr>
              <w:t>Date the advice was given</w:t>
            </w:r>
          </w:p>
        </w:tc>
        <w:tc>
          <w:tcPr>
            <w:tcW w:type="dxa" w:w="5953"/>
          </w:tcPr>
          <w:p>
            <w:r>
              <w:rPr>
                <w:sz w:val="19"/>
              </w:rPr>
            </w:r>
          </w:p>
        </w:tc>
      </w:tr>
      <w:tr>
        <w:trPr>
          <w:trHeight w:val="425" w:hRule="atLeast"/>
        </w:trPr>
        <w:tc>
          <w:tcPr>
            <w:tcW w:type="dxa" w:w="3402"/>
          </w:tcPr>
          <w:p>
            <w:r>
              <w:rPr>
                <w:b/>
                <w:sz w:val="19"/>
              </w:rPr>
              <w:t>Date of this record</w:t>
            </w:r>
          </w:p>
        </w:tc>
        <w:tc>
          <w:tcPr>
            <w:tcW w:type="dxa" w:w="5953"/>
          </w:tcPr>
          <w:p>
            <w:r>
              <w:rPr>
                <w:sz w:val="19"/>
              </w:rPr>
            </w:r>
          </w:p>
        </w:tc>
      </w:tr>
    </w:tbl>
    <w:p>
      <w:pPr>
        <w:spacing w:after="0" w:line="120" w:lineRule="exact"/>
      </w:pPr>
    </w:p>
    <w:p>
      <w:pPr>
        <w:spacing w:before="280" w:after="80"/>
      </w:pPr>
      <w:r>
        <w:rPr>
          <w:b/>
          <w:color w:val="C84B15"/>
          <w:sz w:val="26"/>
        </w:rPr>
        <w:t>2. Why a Record of Advice applies (tick one)</w:t>
      </w:r>
    </w:p>
    <w:p>
      <w:r>
        <w:rPr>
          <w:b/>
        </w:rPr>
        <w:t>☐  Further advice  (s946B as substituted by reg 7.7.10AE)</w:t>
      </w:r>
    </w:p>
    <w:p>
      <w:r>
        <w:rPr>
          <w:i/>
          <w:color w:val="67635C"/>
          <w:sz w:val="19"/>
        </w:rPr>
        <w:t>Only if you have already given this client a Statement of Advice, their relevant personal circumstances are not significantly different, and the basis of this advice is not significantly different from the basis of the earlier advice.</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Earlier Statement of Advice dated</w:t>
            </w:r>
          </w:p>
        </w:tc>
        <w:tc>
          <w:tcPr>
            <w:tcW w:type="dxa" w:w="5953"/>
          </w:tcPr>
          <w:p>
            <w:r>
              <w:rPr>
                <w:sz w:val="19"/>
              </w:rPr>
            </w:r>
          </w:p>
        </w:tc>
      </w:tr>
      <w:tr>
        <w:trPr>
          <w:trHeight w:val="425" w:hRule="atLeast"/>
        </w:trPr>
        <w:tc>
          <w:tcPr>
            <w:tcW w:type="dxa" w:w="3402"/>
          </w:tcPr>
          <w:p>
            <w:r>
              <w:rPr>
                <w:b/>
                <w:sz w:val="19"/>
              </w:rPr>
              <w:t>Why the client's relevant circumstances are not significantly different</w:t>
            </w:r>
          </w:p>
        </w:tc>
        <w:tc>
          <w:tcPr>
            <w:tcW w:type="dxa" w:w="5953"/>
          </w:tcPr>
          <w:p>
            <w:r>
              <w:rPr>
                <w:sz w:val="19"/>
              </w:rPr>
            </w:r>
          </w:p>
        </w:tc>
      </w:tr>
      <w:tr>
        <w:trPr>
          <w:trHeight w:val="425" w:hRule="atLeast"/>
        </w:trPr>
        <w:tc>
          <w:tcPr>
            <w:tcW w:type="dxa" w:w="3402"/>
          </w:tcPr>
          <w:p>
            <w:r>
              <w:rPr>
                <w:b/>
                <w:sz w:val="19"/>
              </w:rPr>
              <w:t>Why the basis of the advice is not significantly different</w:t>
            </w:r>
          </w:p>
        </w:tc>
        <w:tc>
          <w:tcPr>
            <w:tcW w:type="dxa" w:w="5953"/>
          </w:tcPr>
          <w:p>
            <w:r>
              <w:rPr>
                <w:sz w:val="19"/>
              </w:rPr>
            </w:r>
          </w:p>
        </w:tc>
      </w:tr>
    </w:tbl>
    <w:p>
      <w:pPr>
        <w:spacing w:after="0" w:line="120" w:lineRule="exact"/>
      </w:pPr>
    </w:p>
    <w:p>
      <w:r>
        <w:rPr>
          <w:b/>
        </w:rPr>
        <w:t>☐  Small investment advice  (s946AA; reg 7.7.09A)</w:t>
      </w:r>
    </w:p>
    <w:p>
      <w:r>
        <w:rPr>
          <w:i/>
          <w:color w:val="67635C"/>
          <w:sz w:val="19"/>
        </w:rPr>
        <w:t>Only if the amount is no more than $15,000, counted under reg 7.7.09A (include amounts committed over the next 12 months for super, managed investment schemes and instalment warrants; add joint holdings together; if the value cannot be worked out, it is over the threshold). Not available for a derivative, general insurance, life risk insurance, or a super product or RSA the client does not already hold.</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Amount to be invested or disposed of</w:t>
            </w:r>
          </w:p>
        </w:tc>
        <w:tc>
          <w:tcPr>
            <w:tcW w:type="dxa" w:w="5953"/>
          </w:tcPr>
          <w:p>
            <w:r>
              <w:rPr>
                <w:sz w:val="19"/>
              </w:rPr>
              <w:t>$</w:t>
            </w:r>
          </w:p>
        </w:tc>
      </w:tr>
      <w:tr>
        <w:trPr>
          <w:trHeight w:val="425" w:hRule="atLeast"/>
        </w:trPr>
        <w:tc>
          <w:tcPr>
            <w:tcW w:type="dxa" w:w="3402"/>
          </w:tcPr>
          <w:p>
            <w:r>
              <w:rPr>
                <w:b/>
                <w:sz w:val="19"/>
              </w:rPr>
              <w:t>Product type</w:t>
            </w:r>
          </w:p>
        </w:tc>
        <w:tc>
          <w:tcPr>
            <w:tcW w:type="dxa" w:w="5953"/>
          </w:tcPr>
          <w:p>
            <w:r>
              <w:rPr>
                <w:sz w:val="19"/>
              </w:rPr>
            </w:r>
          </w:p>
        </w:tc>
      </w:tr>
    </w:tbl>
    <w:p>
      <w:pPr>
        <w:spacing w:after="0" w:line="120" w:lineRule="exact"/>
      </w:pPr>
    </w:p>
    <w:p>
      <w:r>
        <w:rPr>
          <w:b/>
        </w:rPr>
        <w:t>☐  No recommendation to acquire or dispose  (s946B(7) to (9); reg 7.7.10AAA)</w:t>
      </w:r>
    </w:p>
    <w:p>
      <w:r>
        <w:rPr>
          <w:i/>
          <w:color w:val="67635C"/>
          <w:sz w:val="19"/>
        </w:rPr>
        <w:t>Only if the advice gives no recommendation or opinion on acquiring or disposing of a specific product (or the products of a specific issuer), or on changing an investment strategy or contribution level for a product the client holds, and none of the people listed in s946B(7)(b) receives remuneration or another benefit for this advice (other than remuneration already being received for an earlier acquisition).</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Why no product recommendation was made</w:t>
            </w:r>
          </w:p>
        </w:tc>
        <w:tc>
          <w:tcPr>
            <w:tcW w:type="dxa" w:w="5953"/>
          </w:tcPr>
          <w:p>
            <w:r>
              <w:rPr>
                <w:sz w:val="19"/>
              </w:rPr>
            </w:r>
          </w:p>
        </w:tc>
      </w:tr>
    </w:tbl>
    <w:p>
      <w:pPr>
        <w:spacing w:after="0" w:line="120" w:lineRule="exact"/>
      </w:pPr>
    </w:p>
    <w:p>
      <w:pPr>
        <w:spacing w:before="280" w:after="80"/>
      </w:pPr>
      <w:r>
        <w:rPr>
          <w:b/>
          <w:color w:val="C84B15"/>
          <w:sz w:val="26"/>
        </w:rPr>
        <w:t>3. The advice</w:t>
      </w:r>
    </w:p>
    <w:p>
      <w:r>
        <w:rPr>
          <w:i/>
          <w:color w:val="67635C"/>
          <w:sz w:val="19"/>
        </w:rPr>
        <w:t>Set out either the advice itself, or brief particulars of the recommendations and the basis on which they are made (reg 7.7.09(1); reg 7.7.08C(2)(a); reg 7.7.10AAA).</w:t>
      </w:r>
    </w:p>
    <w:tbl>
      <w:tblPr>
        <w:tblStyle w:val="TableGrid"/>
        <w:tblW w:type="auto" w:w="0"/>
        <w:jc w:val="left"/>
        <w:tblLayout w:type="fixed"/>
        <w:tblLook w:firstColumn="1" w:firstRow="1" w:lastColumn="0" w:lastRow="0" w:noHBand="0" w:noVBand="1" w:val="04A0"/>
      </w:tblPr>
      <w:tblGrid>
        <w:gridCol w:w="3402"/>
        <w:gridCol w:w="5953"/>
      </w:tblGrid>
      <w:tr>
        <w:trPr>
          <w:trHeight w:val="1247" w:hRule="atLeast"/>
        </w:trPr>
        <w:tc>
          <w:tcPr>
            <w:tcW w:type="dxa" w:w="3402"/>
          </w:tcPr>
          <w:p>
            <w:r>
              <w:rPr>
                <w:b/>
                <w:sz w:val="19"/>
              </w:rPr>
              <w:t>What the client asked for</w:t>
            </w:r>
          </w:p>
        </w:tc>
        <w:tc>
          <w:tcPr>
            <w:tcW w:type="dxa" w:w="5953"/>
          </w:tcPr>
          <w:p>
            <w:r>
              <w:rPr>
                <w:sz w:val="19"/>
              </w:rPr>
            </w:r>
          </w:p>
        </w:tc>
      </w:tr>
      <w:tr>
        <w:trPr>
          <w:trHeight w:val="1247" w:hRule="atLeast"/>
        </w:trPr>
        <w:tc>
          <w:tcPr>
            <w:tcW w:type="dxa" w:w="3402"/>
          </w:tcPr>
          <w:p>
            <w:r>
              <w:rPr>
                <w:b/>
                <w:sz w:val="19"/>
              </w:rPr>
              <w:t>Recommendations</w:t>
            </w:r>
          </w:p>
        </w:tc>
        <w:tc>
          <w:tcPr>
            <w:tcW w:type="dxa" w:w="5953"/>
          </w:tcPr>
          <w:p>
            <w:r>
              <w:rPr>
                <w:sz w:val="19"/>
              </w:rPr>
            </w:r>
          </w:p>
        </w:tc>
      </w:tr>
      <w:tr>
        <w:trPr>
          <w:trHeight w:val="1247" w:hRule="atLeast"/>
        </w:trPr>
        <w:tc>
          <w:tcPr>
            <w:tcW w:type="dxa" w:w="3402"/>
          </w:tcPr>
          <w:p>
            <w:r>
              <w:rPr>
                <w:b/>
                <w:sz w:val="19"/>
              </w:rPr>
              <w:t>The basis on which the recommendations are made</w:t>
            </w:r>
          </w:p>
        </w:tc>
        <w:tc>
          <w:tcPr>
            <w:tcW w:type="dxa" w:w="5953"/>
          </w:tcPr>
          <w:p>
            <w:r>
              <w:rPr>
                <w:sz w:val="19"/>
              </w:rPr>
            </w:r>
          </w:p>
        </w:tc>
      </w:tr>
    </w:tbl>
    <w:p>
      <w:pPr>
        <w:spacing w:after="0" w:line="120" w:lineRule="exact"/>
      </w:pPr>
    </w:p>
    <w:p>
      <w:pPr>
        <w:spacing w:before="280" w:after="80"/>
      </w:pPr>
      <w:r>
        <w:rPr>
          <w:b/>
          <w:color w:val="C84B15"/>
          <w:sz w:val="26"/>
        </w:rPr>
        <w:t>4. Remuneration, benefits, interests and associations</w:t>
      </w:r>
    </w:p>
    <w:p>
      <w:r>
        <w:rPr>
          <w:i/>
          <w:color w:val="67635C"/>
          <w:sz w:val="19"/>
        </w:rPr>
        <w:t>The information s947B(2)(d) and (e) requires (or s947C(2)(e) and (f) for an authorised representative): remuneration, including commission, and other benefits that might reasonably be expected to influence the advice, and any interests, associations or relationships that might. State amounts in dollars.</w:t>
      </w:r>
    </w:p>
    <w:tbl>
      <w:tblPr>
        <w:tblStyle w:val="TableGrid"/>
        <w:tblW w:type="auto" w:w="0"/>
        <w:jc w:val="left"/>
        <w:tblLayout w:type="fixed"/>
        <w:tblLook w:firstColumn="1" w:firstRow="1" w:lastColumn="0" w:lastRow="0" w:noHBand="0" w:noVBand="1" w:val="04A0"/>
      </w:tblPr>
      <w:tblGrid>
        <w:gridCol w:w="3402"/>
        <w:gridCol w:w="3402"/>
        <w:gridCol w:w="2551"/>
      </w:tblGrid>
      <w:tr>
        <w:trPr>
          <w:trHeight w:val="340" w:hRule="atLeast"/>
        </w:trPr>
        <w:tc>
          <w:tcPr>
            <w:tcW w:type="dxa" w:w="3402"/>
            <w:shd w:val="clear" w:color="auto" w:fill="F4F1E8"/>
          </w:tcPr>
          <w:p>
            <w:r>
              <w:rPr>
                <w:b/>
                <w:sz w:val="19"/>
              </w:rPr>
              <w:t>Item</w:t>
            </w:r>
          </w:p>
        </w:tc>
        <w:tc>
          <w:tcPr>
            <w:tcW w:type="dxa" w:w="3402"/>
            <w:shd w:val="clear" w:color="auto" w:fill="F4F1E8"/>
          </w:tcPr>
          <w:p>
            <w:r>
              <w:rPr>
                <w:b/>
                <w:sz w:val="19"/>
              </w:rPr>
              <w:t>Who receives it</w:t>
            </w:r>
          </w:p>
        </w:tc>
        <w:tc>
          <w:tcPr>
            <w:tcW w:type="dxa" w:w="2551"/>
            <w:shd w:val="clear" w:color="auto" w:fill="F4F1E8"/>
          </w:tcPr>
          <w:p>
            <w:r>
              <w:rPr>
                <w:b/>
                <w:sz w:val="19"/>
              </w:rPr>
              <w:t>Amount ($)</w:t>
            </w:r>
          </w:p>
        </w:tc>
      </w:tr>
      <w:tr>
        <w:trPr>
          <w:trHeight w:val="425" w:hRule="atLeast"/>
        </w:trPr>
        <w:tc>
          <w:tcPr>
            <w:tcW w:type="dxa" w:w="3402"/>
          </w:tcPr>
          <w:p>
            <w:r>
              <w:rPr>
                <w:sz w:val="19"/>
              </w:rPr>
              <w:t>Advice fee</w:t>
            </w:r>
          </w:p>
        </w:tc>
        <w:tc>
          <w:tcPr>
            <w:tcW w:type="dxa" w:w="3402"/>
          </w:tcPr>
          <w:p>
            <w:r>
              <w:rPr>
                <w:sz w:val="19"/>
              </w:rPr>
            </w:r>
          </w:p>
        </w:tc>
        <w:tc>
          <w:tcPr>
            <w:tcW w:type="dxa" w:w="2551"/>
          </w:tcPr>
          <w:p>
            <w:r>
              <w:rPr>
                <w:sz w:val="19"/>
              </w:rPr>
            </w:r>
          </w:p>
        </w:tc>
      </w:tr>
      <w:tr>
        <w:trPr>
          <w:trHeight w:val="425" w:hRule="atLeast"/>
        </w:trPr>
        <w:tc>
          <w:tcPr>
            <w:tcW w:type="dxa" w:w="3402"/>
          </w:tcPr>
          <w:p>
            <w:r>
              <w:rPr>
                <w:sz w:val="19"/>
              </w:rPr>
              <w:t>Ongoing fee</w:t>
            </w:r>
          </w:p>
        </w:tc>
        <w:tc>
          <w:tcPr>
            <w:tcW w:type="dxa" w:w="3402"/>
          </w:tcPr>
          <w:p>
            <w:r>
              <w:rPr>
                <w:sz w:val="19"/>
              </w:rPr>
            </w:r>
          </w:p>
        </w:tc>
        <w:tc>
          <w:tcPr>
            <w:tcW w:type="dxa" w:w="2551"/>
          </w:tcPr>
          <w:p>
            <w:r>
              <w:rPr>
                <w:sz w:val="19"/>
              </w:rPr>
            </w:r>
          </w:p>
        </w:tc>
      </w:tr>
      <w:tr>
        <w:trPr>
          <w:trHeight w:val="425" w:hRule="atLeast"/>
        </w:trPr>
        <w:tc>
          <w:tcPr>
            <w:tcW w:type="dxa" w:w="3402"/>
          </w:tcPr>
          <w:p>
            <w:r>
              <w:rPr>
                <w:sz w:val="19"/>
              </w:rPr>
              <w:t>Commission</w:t>
            </w:r>
          </w:p>
        </w:tc>
        <w:tc>
          <w:tcPr>
            <w:tcW w:type="dxa" w:w="3402"/>
          </w:tcPr>
          <w:p>
            <w:r>
              <w:rPr>
                <w:sz w:val="19"/>
              </w:rPr>
            </w:r>
          </w:p>
        </w:tc>
        <w:tc>
          <w:tcPr>
            <w:tcW w:type="dxa" w:w="2551"/>
          </w:tcPr>
          <w:p>
            <w:r>
              <w:rPr>
                <w:sz w:val="19"/>
              </w:rPr>
            </w:r>
          </w:p>
        </w:tc>
      </w:tr>
      <w:tr>
        <w:trPr>
          <w:trHeight w:val="425" w:hRule="atLeast"/>
        </w:trPr>
        <w:tc>
          <w:tcPr>
            <w:tcW w:type="dxa" w:w="3402"/>
          </w:tcPr>
          <w:p>
            <w:r>
              <w:rPr>
                <w:sz w:val="19"/>
              </w:rPr>
              <w:t>Other benefits</w:t>
            </w:r>
          </w:p>
        </w:tc>
        <w:tc>
          <w:tcPr>
            <w:tcW w:type="dxa" w:w="3402"/>
          </w:tcPr>
          <w:p>
            <w:r>
              <w:rPr>
                <w:sz w:val="19"/>
              </w:rPr>
            </w:r>
          </w:p>
        </w:tc>
        <w:tc>
          <w:tcPr>
            <w:tcW w:type="dxa" w:w="2551"/>
          </w:tcPr>
          <w:p>
            <w:r>
              <w:rPr>
                <w:sz w:val="19"/>
              </w:rPr>
            </w:r>
          </w:p>
        </w:tc>
      </w:tr>
    </w:tbl>
    <w:p>
      <w:pPr>
        <w:spacing w:after="0" w:line="120" w:lineRule="exact"/>
      </w:pP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Interests, associations and relationships</w:t>
            </w:r>
          </w:p>
        </w:tc>
        <w:tc>
          <w:tcPr>
            <w:tcW w:type="dxa" w:w="5953"/>
          </w:tcPr>
          <w:p>
            <w:r>
              <w:rPr>
                <w:sz w:val="19"/>
              </w:rPr>
            </w:r>
          </w:p>
        </w:tc>
      </w:tr>
    </w:tbl>
    <w:p>
      <w:pPr>
        <w:spacing w:after="0" w:line="120" w:lineRule="exact"/>
      </w:pPr>
    </w:p>
    <w:p>
      <w:pPr>
        <w:spacing w:before="280" w:after="80"/>
      </w:pPr>
      <w:r>
        <w:rPr>
          <w:b/>
          <w:color w:val="C84B15"/>
          <w:sz w:val="26"/>
        </w:rPr>
        <w:t>5. Replacing a product (complete only if you recommend a switch)</w:t>
      </w:r>
    </w:p>
    <w:p>
      <w:r>
        <w:rPr>
          <w:i/>
          <w:color w:val="67635C"/>
          <w:sz w:val="19"/>
        </w:rPr>
        <w:t>If you recommend replacing one product with another, record brief particulars of the information s947D requires, including the costs of switching, any benefits the client may lose and other significant consequences, and the statement it requires or an acknowledgement that the statement was given (reg 7.7.09(1); reg 7.7.08C(2)(b) and (c)).</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Product being replaced</w:t>
            </w:r>
          </w:p>
        </w:tc>
        <w:tc>
          <w:tcPr>
            <w:tcW w:type="dxa" w:w="5953"/>
          </w:tcPr>
          <w:p>
            <w:r>
              <w:rPr>
                <w:sz w:val="19"/>
              </w:rPr>
            </w:r>
          </w:p>
        </w:tc>
      </w:tr>
      <w:tr>
        <w:trPr>
          <w:trHeight w:val="425" w:hRule="atLeast"/>
        </w:trPr>
        <w:tc>
          <w:tcPr>
            <w:tcW w:type="dxa" w:w="3402"/>
          </w:tcPr>
          <w:p>
            <w:r>
              <w:rPr>
                <w:b/>
                <w:sz w:val="19"/>
              </w:rPr>
              <w:t>Recommended product</w:t>
            </w:r>
          </w:p>
        </w:tc>
        <w:tc>
          <w:tcPr>
            <w:tcW w:type="dxa" w:w="5953"/>
          </w:tcPr>
          <w:p>
            <w:r>
              <w:rPr>
                <w:sz w:val="19"/>
              </w:rPr>
            </w:r>
          </w:p>
        </w:tc>
      </w:tr>
      <w:tr>
        <w:trPr>
          <w:trHeight w:val="425" w:hRule="atLeast"/>
        </w:trPr>
        <w:tc>
          <w:tcPr>
            <w:tcW w:type="dxa" w:w="3402"/>
          </w:tcPr>
          <w:p>
            <w:r>
              <w:rPr>
                <w:b/>
                <w:sz w:val="19"/>
              </w:rPr>
              <w:t>Costs of switching</w:t>
            </w:r>
          </w:p>
        </w:tc>
        <w:tc>
          <w:tcPr>
            <w:tcW w:type="dxa" w:w="5953"/>
          </w:tcPr>
          <w:p>
            <w:r>
              <w:rPr>
                <w:sz w:val="19"/>
              </w:rPr>
            </w:r>
          </w:p>
        </w:tc>
      </w:tr>
      <w:tr>
        <w:trPr>
          <w:trHeight w:val="425" w:hRule="atLeast"/>
        </w:trPr>
        <w:tc>
          <w:tcPr>
            <w:tcW w:type="dxa" w:w="3402"/>
          </w:tcPr>
          <w:p>
            <w:r>
              <w:rPr>
                <w:b/>
                <w:sz w:val="19"/>
              </w:rPr>
              <w:t>Benefits the client may lose</w:t>
            </w:r>
          </w:p>
        </w:tc>
        <w:tc>
          <w:tcPr>
            <w:tcW w:type="dxa" w:w="5953"/>
          </w:tcPr>
          <w:p>
            <w:r>
              <w:rPr>
                <w:sz w:val="19"/>
              </w:rPr>
            </w:r>
          </w:p>
        </w:tc>
      </w:tr>
      <w:tr>
        <w:trPr>
          <w:trHeight w:val="425" w:hRule="atLeast"/>
        </w:trPr>
        <w:tc>
          <w:tcPr>
            <w:tcW w:type="dxa" w:w="3402"/>
          </w:tcPr>
          <w:p>
            <w:r>
              <w:rPr>
                <w:b/>
                <w:sz w:val="19"/>
              </w:rPr>
              <w:t>Other significant consequences</w:t>
            </w:r>
          </w:p>
        </w:tc>
        <w:tc>
          <w:tcPr>
            <w:tcW w:type="dxa" w:w="5953"/>
          </w:tcPr>
          <w:p>
            <w:r>
              <w:rPr>
                <w:sz w:val="19"/>
              </w:rPr>
            </w:r>
          </w:p>
        </w:tc>
      </w:tr>
      <w:tr>
        <w:trPr>
          <w:trHeight w:val="425" w:hRule="atLeast"/>
        </w:trPr>
        <w:tc>
          <w:tcPr>
            <w:tcW w:type="dxa" w:w="3402"/>
          </w:tcPr>
          <w:p>
            <w:r>
              <w:rPr>
                <w:b/>
                <w:sz w:val="19"/>
              </w:rPr>
              <w:t>Statement given to the client on</w:t>
            </w:r>
          </w:p>
        </w:tc>
        <w:tc>
          <w:tcPr>
            <w:tcW w:type="dxa" w:w="5953"/>
          </w:tcPr>
          <w:p>
            <w:r>
              <w:rPr>
                <w:sz w:val="19"/>
              </w:rPr>
            </w:r>
          </w:p>
        </w:tc>
      </w:tr>
    </w:tbl>
    <w:p>
      <w:pPr>
        <w:spacing w:after="0" w:line="120" w:lineRule="exact"/>
      </w:pPr>
    </w:p>
    <w:p>
      <w:pPr>
        <w:spacing w:before="280" w:after="80"/>
      </w:pPr>
      <w:r>
        <w:rPr>
          <w:b/>
          <w:color w:val="C84B15"/>
          <w:sz w:val="26"/>
        </w:rPr>
        <w:t>6. How the client received this</w:t>
      </w:r>
    </w:p>
    <w:p>
      <w:r>
        <w:rPr>
          <w:i/>
          <w:color w:val="67635C"/>
          <w:sz w:val="19"/>
        </w:rPr>
        <w:t>Small investment advice: give the client a copy of this record when, or as soon as practicable after, the advice, and before any further related service. Further advice and no-recommendation advice: give the disclosure information at the time (or as soon as practicable after, for further advice), and this record if the client asks. Clients may ask for a copy for 7 years after the advice (regs 7.7.05 and 7.7.08). Keep a record of further advice for 7 years (reg 7.7.09(3)).</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How it was given (email, post, in person, portal)</w:t>
            </w:r>
          </w:p>
        </w:tc>
        <w:tc>
          <w:tcPr>
            <w:tcW w:type="dxa" w:w="5953"/>
          </w:tcPr>
          <w:p>
            <w:r>
              <w:rPr>
                <w:sz w:val="19"/>
              </w:rPr>
            </w:r>
          </w:p>
        </w:tc>
      </w:tr>
      <w:tr>
        <w:trPr>
          <w:trHeight w:val="425" w:hRule="atLeast"/>
        </w:trPr>
        <w:tc>
          <w:tcPr>
            <w:tcW w:type="dxa" w:w="3402"/>
          </w:tcPr>
          <w:p>
            <w:r>
              <w:rPr>
                <w:b/>
                <w:sz w:val="19"/>
              </w:rPr>
              <w:t>Date given</w:t>
            </w:r>
          </w:p>
        </w:tc>
        <w:tc>
          <w:tcPr>
            <w:tcW w:type="dxa" w:w="5953"/>
          </w:tcPr>
          <w:p>
            <w:r>
              <w:rPr>
                <w:sz w:val="19"/>
              </w:rPr>
            </w:r>
          </w:p>
        </w:tc>
      </w:tr>
    </w:tbl>
    <w:p>
      <w:pPr>
        <w:spacing w:after="0" w:line="120" w:lineRule="exact"/>
      </w:pPr>
    </w:p>
    <w:p>
      <w:pPr>
        <w:spacing w:before="280" w:after="80"/>
      </w:pPr>
      <w:r>
        <w:rPr>
          <w:b/>
          <w:color w:val="C84B15"/>
          <w:sz w:val="26"/>
        </w:rPr>
        <w:t>Adviser sign-off</w:t>
      </w:r>
    </w:p>
    <w:tbl>
      <w:tblPr>
        <w:tblStyle w:val="TableGrid"/>
        <w:tblW w:type="auto" w:w="0"/>
        <w:jc w:val="left"/>
        <w:tblLayout w:type="fixed"/>
        <w:tblLook w:firstColumn="1" w:firstRow="1" w:lastColumn="0" w:lastRow="0" w:noHBand="0" w:noVBand="1" w:val="04A0"/>
      </w:tblPr>
      <w:tblGrid>
        <w:gridCol w:w="3402"/>
        <w:gridCol w:w="5953"/>
      </w:tblGrid>
      <w:tr>
        <w:trPr>
          <w:trHeight w:val="425" w:hRule="atLeast"/>
        </w:trPr>
        <w:tc>
          <w:tcPr>
            <w:tcW w:type="dxa" w:w="3402"/>
          </w:tcPr>
          <w:p>
            <w:r>
              <w:rPr>
                <w:b/>
                <w:sz w:val="19"/>
              </w:rPr>
              <w:t>Adviser signature</w:t>
            </w:r>
          </w:p>
        </w:tc>
        <w:tc>
          <w:tcPr>
            <w:tcW w:type="dxa" w:w="5953"/>
          </w:tcPr>
          <w:p>
            <w:r>
              <w:rPr>
                <w:sz w:val="19"/>
              </w:rPr>
            </w:r>
          </w:p>
        </w:tc>
      </w:tr>
      <w:tr>
        <w:trPr>
          <w:trHeight w:val="425" w:hRule="atLeast"/>
        </w:trPr>
        <w:tc>
          <w:tcPr>
            <w:tcW w:type="dxa" w:w="3402"/>
          </w:tcPr>
          <w:p>
            <w:r>
              <w:rPr>
                <w:b/>
                <w:sz w:val="19"/>
              </w:rPr>
              <w:t>Date</w:t>
            </w:r>
          </w:p>
        </w:tc>
        <w:tc>
          <w:tcPr>
            <w:tcW w:type="dxa" w:w="5953"/>
          </w:tcPr>
          <w:p>
            <w:r>
              <w:rPr>
                <w:sz w:val="19"/>
              </w:rPr>
            </w:r>
          </w:p>
        </w:tc>
      </w:tr>
    </w:tbl>
    <w:p>
      <w:pPr>
        <w:spacing w:after="0" w:line="120" w:lineRule="exact"/>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7635C"/>
        <w:sz w:val="15"/>
      </w:rPr>
      <w:t>Template from BackPro AI (backpro.ai/resources/templates). Checked against the Corporations Act 2001 and Corporations Regulations 2001 on 3 October 2026. General information only, not legal advice. Your licensee's requirements come first.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