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SoA pre-submission checklist</w:t>
      </w:r>
    </w:p>
    <w:p>
      <w:r>
        <w:rPr>
          <w:i/>
          <w:color w:val="67635C"/>
          <w:sz w:val="19"/>
        </w:rPr>
        <w:t>Check every Statement of Advice against this list before it goes to the client. s947B applies when a licensee gives the advice; s947C when an authorised representative does. Plain-English paraphrases; the exact words are in the sections cited.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520"/>
      </w:tblGrid>
      <w:tr>
        <w:trPr>
          <w:trHeight w:val="425" w:hRule="atLeast"/>
        </w:trPr>
        <w:tc>
          <w:tcPr>
            <w:tcW w:type="dxa" w:w="2835"/>
          </w:tcPr>
          <w:p>
            <w:r>
              <w:rPr>
                <w:b/>
                <w:sz w:val="19"/>
              </w:rPr>
              <w:t>Client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835"/>
          </w:tcPr>
          <w:p>
            <w:r>
              <w:rPr>
                <w:b/>
                <w:sz w:val="19"/>
              </w:rPr>
              <w:t>Adviser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835"/>
          </w:tcPr>
          <w:p>
            <w:r>
              <w:rPr>
                <w:b/>
                <w:sz w:val="19"/>
              </w:rPr>
              <w:t>SoA dated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835"/>
          </w:tcPr>
          <w:p>
            <w:r>
              <w:rPr>
                <w:b/>
                <w:sz w:val="19"/>
              </w:rPr>
              <w:t>Checked by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</w:r>
          </w:p>
        </w:tc>
      </w:tr>
    </w:tbl>
    <w:p>
      <w:pPr>
        <w:spacing w:after="0" w:line="120" w:lineRule="exact"/>
      </w:pPr>
    </w:p>
    <w:p>
      <w:pPr>
        <w:spacing w:before="280" w:after="80"/>
      </w:pPr>
      <w:r>
        <w:rPr>
          <w:b/>
          <w:color w:val="C84B15"/>
          <w:sz w:val="26"/>
        </w:rPr>
        <w:t>1. Content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4535"/>
        <w:gridCol w:w="2438"/>
        <w:gridCol w:w="1701"/>
      </w:tblGrid>
      <w:tr>
        <w:trPr>
          <w:trHeight w:val="340" w:hRule="atLeast"/>
        </w:trPr>
        <w:tc>
          <w:tcPr>
            <w:tcW w:type="dxa" w:w="680"/>
            <w:shd w:val="clear" w:color="auto" w:fill="F4F1E8"/>
          </w:tcPr>
          <w:p>
            <w:r>
              <w:rPr>
                <w:b/>
                <w:sz w:val="19"/>
              </w:rPr>
              <w:t>Item</w:t>
            </w:r>
          </w:p>
        </w:tc>
        <w:tc>
          <w:tcPr>
            <w:tcW w:type="dxa" w:w="4535"/>
            <w:shd w:val="clear" w:color="auto" w:fill="F4F1E8"/>
          </w:tcPr>
          <w:p>
            <w:r>
              <w:rPr>
                <w:b/>
                <w:sz w:val="19"/>
              </w:rPr>
              <w:t>What to check</w:t>
            </w:r>
          </w:p>
        </w:tc>
        <w:tc>
          <w:tcPr>
            <w:tcW w:type="dxa" w:w="2438"/>
            <w:shd w:val="clear" w:color="auto" w:fill="F4F1E8"/>
          </w:tcPr>
          <w:p>
            <w:r>
              <w:rPr>
                <w:b/>
                <w:sz w:val="19"/>
              </w:rPr>
              <w:t>Where it is in the law</w:t>
            </w:r>
          </w:p>
        </w:tc>
        <w:tc>
          <w:tcPr>
            <w:tcW w:type="dxa" w:w="1701"/>
            <w:shd w:val="clear" w:color="auto" w:fill="F4F1E8"/>
          </w:tcPr>
          <w:p>
            <w:r>
              <w:rPr>
                <w:b/>
                <w:sz w:val="19"/>
              </w:rPr>
              <w:t>Done (initials, date)</w:t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Titled “Statement of Advice” on the cover, or at or near the front (“SoA” allowed elsewhere).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s947A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A statement setting out the advice.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s947B(2)(a); s947C(2)(a)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Information about the basis on which the advice is given.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s947B(2)(b); s947C(2)(b)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Name and contact details of whoever gives the advice.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s947B(2)(c); s947C(2)(c)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Authorised representative: licensee's name and contact details, a statement you are its representative, and its licence number.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s947C(2)(d); reg 7.7.11A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Remuneration (including commission) and other benefits that might influence the advice.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s947B(2)(d); s947C(2)(e)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Remuneration and benefits received, or to be received, for referring the client.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reg 7.7.11(1); reg 7.7.12(1)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8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Other interests, and associations or relationships with product issuers, that might influence the advice.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s947B(2)(e); s947C(2)(f)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9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Amounts in items 6 and 8 in dollars, unless the regulations and an ASIC determination allow otherwise.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s947B(2)(h); s947C(2)(i); reg 7.7.10A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10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If the advice is or may be based on incomplete or inaccurate information, the s961H warning set out or recorded.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s947B(2)(f); s947C(2)(g); s961H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11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If a product is to be replaced, the s947D switching information.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s947B(5)(a); s947C(5)(a); s947D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</w:tbl>
    <w:p>
      <w:pPr>
        <w:spacing w:after="0" w:line="120" w:lineRule="exact"/>
      </w:pPr>
    </w:p>
    <w:p>
      <w:pPr>
        <w:spacing w:before="280" w:after="80"/>
      </w:pPr>
      <w:r>
        <w:rPr>
          <w:b/>
          <w:color w:val="C84B15"/>
          <w:sz w:val="26"/>
        </w:rPr>
        <w:t>2. Presentation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4535"/>
        <w:gridCol w:w="2438"/>
        <w:gridCol w:w="1701"/>
      </w:tblGrid>
      <w:tr>
        <w:trPr>
          <w:trHeight w:val="340" w:hRule="atLeast"/>
        </w:trPr>
        <w:tc>
          <w:tcPr>
            <w:tcW w:type="dxa" w:w="680"/>
            <w:shd w:val="clear" w:color="auto" w:fill="F4F1E8"/>
          </w:tcPr>
          <w:p>
            <w:r>
              <w:rPr>
                <w:b/>
                <w:sz w:val="19"/>
              </w:rPr>
              <w:t>Item</w:t>
            </w:r>
          </w:p>
        </w:tc>
        <w:tc>
          <w:tcPr>
            <w:tcW w:type="dxa" w:w="4535"/>
            <w:shd w:val="clear" w:color="auto" w:fill="F4F1E8"/>
          </w:tcPr>
          <w:p>
            <w:r>
              <w:rPr>
                <w:b/>
                <w:sz w:val="19"/>
              </w:rPr>
              <w:t>What to check</w:t>
            </w:r>
          </w:p>
        </w:tc>
        <w:tc>
          <w:tcPr>
            <w:tcW w:type="dxa" w:w="2438"/>
            <w:shd w:val="clear" w:color="auto" w:fill="F4F1E8"/>
          </w:tcPr>
          <w:p>
            <w:r>
              <w:rPr>
                <w:b/>
                <w:sz w:val="19"/>
              </w:rPr>
              <w:t>Where it is in the law</w:t>
            </w:r>
          </w:p>
        </w:tc>
        <w:tc>
          <w:tcPr>
            <w:tcW w:type="dxa" w:w="1701"/>
            <w:shd w:val="clear" w:color="auto" w:fill="F4F1E8"/>
          </w:tcPr>
          <w:p>
            <w:r>
              <w:rPr>
                <w:b/>
                <w:sz w:val="19"/>
              </w:rPr>
              <w:t>Done (initials, date)</w:t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12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Detail a person would reasonably need to decide, as a retail client, whether to act on the advice.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s947B(3); s947C(3)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13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Worded and presented in a clear, concise and effective manner.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s947B(6); s947C(6)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14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Not combined in one document with a Financial Services Guide or a Product Disclosure Statement.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s947E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</w:tbl>
    <w:p>
      <w:pPr>
        <w:spacing w:after="0" w:line="120" w:lineRule="exact"/>
      </w:pPr>
    </w:p>
    <w:p>
      <w:pPr>
        <w:spacing w:before="280" w:after="80"/>
      </w:pPr>
      <w:r>
        <w:rPr>
          <w:b/>
          <w:color w:val="C84B15"/>
          <w:sz w:val="26"/>
        </w:rPr>
        <w:t>3. Timing and keeping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4535"/>
        <w:gridCol w:w="2438"/>
        <w:gridCol w:w="1701"/>
      </w:tblGrid>
      <w:tr>
        <w:trPr>
          <w:trHeight w:val="340" w:hRule="atLeast"/>
        </w:trPr>
        <w:tc>
          <w:tcPr>
            <w:tcW w:type="dxa" w:w="680"/>
            <w:shd w:val="clear" w:color="auto" w:fill="F4F1E8"/>
          </w:tcPr>
          <w:p>
            <w:r>
              <w:rPr>
                <w:b/>
                <w:sz w:val="19"/>
              </w:rPr>
              <w:t>Item</w:t>
            </w:r>
          </w:p>
        </w:tc>
        <w:tc>
          <w:tcPr>
            <w:tcW w:type="dxa" w:w="4535"/>
            <w:shd w:val="clear" w:color="auto" w:fill="F4F1E8"/>
          </w:tcPr>
          <w:p>
            <w:r>
              <w:rPr>
                <w:b/>
                <w:sz w:val="19"/>
              </w:rPr>
              <w:t>What to check</w:t>
            </w:r>
          </w:p>
        </w:tc>
        <w:tc>
          <w:tcPr>
            <w:tcW w:type="dxa" w:w="2438"/>
            <w:shd w:val="clear" w:color="auto" w:fill="F4F1E8"/>
          </w:tcPr>
          <w:p>
            <w:r>
              <w:rPr>
                <w:b/>
                <w:sz w:val="19"/>
              </w:rPr>
              <w:t>Where it is in the law</w:t>
            </w:r>
          </w:p>
        </w:tc>
        <w:tc>
          <w:tcPr>
            <w:tcW w:type="dxa" w:w="1701"/>
            <w:shd w:val="clear" w:color="auto" w:fill="F4F1E8"/>
          </w:tcPr>
          <w:p>
            <w:r>
              <w:rPr>
                <w:b/>
                <w:sz w:val="19"/>
              </w:rPr>
              <w:t>Done (initials, date)</w:t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15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Given when, or as soon as practicable after, the advice, and before any further connected service.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s946C(1)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16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If not given when the advice was provided: the remuneration, interests and switching information given at that time.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s946C(2)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17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Time-critical case: given within 5 business days after the connected service, or before any cooling-off period starts.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s946C(3)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18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The SoA, and any document or part of a document it mentions, kept for 7 years after it is given.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reg 7.7.09C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</w:tbl>
    <w:p>
      <w:pPr>
        <w:spacing w:after="0" w:line="120" w:lineRule="exact"/>
      </w:pPr>
    </w:p>
    <w:p>
      <w:pPr>
        <w:spacing w:before="280" w:after="80"/>
      </w:pPr>
      <w:r>
        <w:rPr>
          <w:b/>
          <w:color w:val="C84B15"/>
          <w:sz w:val="26"/>
        </w:rPr>
        <w:t>4. The file behind it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4535"/>
        <w:gridCol w:w="2438"/>
        <w:gridCol w:w="1701"/>
      </w:tblGrid>
      <w:tr>
        <w:trPr>
          <w:trHeight w:val="340" w:hRule="atLeast"/>
        </w:trPr>
        <w:tc>
          <w:tcPr>
            <w:tcW w:type="dxa" w:w="680"/>
            <w:shd w:val="clear" w:color="auto" w:fill="F4F1E8"/>
          </w:tcPr>
          <w:p>
            <w:r>
              <w:rPr>
                <w:b/>
                <w:sz w:val="19"/>
              </w:rPr>
              <w:t>Item</w:t>
            </w:r>
          </w:p>
        </w:tc>
        <w:tc>
          <w:tcPr>
            <w:tcW w:type="dxa" w:w="4535"/>
            <w:shd w:val="clear" w:color="auto" w:fill="F4F1E8"/>
          </w:tcPr>
          <w:p>
            <w:r>
              <w:rPr>
                <w:b/>
                <w:sz w:val="19"/>
              </w:rPr>
              <w:t>What to check</w:t>
            </w:r>
          </w:p>
        </w:tc>
        <w:tc>
          <w:tcPr>
            <w:tcW w:type="dxa" w:w="2438"/>
            <w:shd w:val="clear" w:color="auto" w:fill="F4F1E8"/>
          </w:tcPr>
          <w:p>
            <w:r>
              <w:rPr>
                <w:b/>
                <w:sz w:val="19"/>
              </w:rPr>
              <w:t>Where it is in the law</w:t>
            </w:r>
          </w:p>
        </w:tc>
        <w:tc>
          <w:tcPr>
            <w:tcW w:type="dxa" w:w="1701"/>
            <w:shd w:val="clear" w:color="auto" w:fill="F4F1E8"/>
          </w:tcPr>
          <w:p>
            <w:r>
              <w:rPr>
                <w:b/>
                <w:sz w:val="19"/>
              </w:rPr>
              <w:t>Done (initials, date)</w:t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19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The s961B(2) steps evidenced on file (see the Best Interests Duty checklist).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s961B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20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It is reasonable to conclude the advice is appropriate to the client.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s961G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21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Any conflict resolved by giving priority to the client's interests.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s961J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</w:tbl>
    <w:p>
      <w:pPr>
        <w:spacing w:after="0" w:line="120" w:lineRule="exact"/>
      </w:pP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7635C"/>
        <w:sz w:val="15"/>
      </w:rPr>
      <w:t>Template from BackPro AI (backpro.ai/resources/templates). Checked against the Corporations Act 2001 and Corporations Regulations 2001 on 7 October 2026. General information only, not legal advice. Your licensee's requirements come first.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1F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